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73.6" w:lineRule="auto"/>
        <w:contextualSpacing w:val="0"/>
        <w:rPr>
          <w:rFonts w:ascii="Times New Roman" w:cs="Times New Roman" w:eastAsia="Times New Roman" w:hAnsi="Times New Roman"/>
          <w:b w:val="1"/>
          <w:color w:val="0066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6600"/>
          <w:rtl w:val="0"/>
        </w:rPr>
        <w:t xml:space="preserve">Tema 42 – Inclusão e Alfabetização digital na escola para redução das desigualdades.</w:t>
      </w:r>
    </w:p>
    <w:p w:rsidR="00000000" w:rsidDel="00000000" w:rsidP="00000000" w:rsidRDefault="00000000" w:rsidRPr="00000000" w14:paraId="00000001">
      <w:pPr>
        <w:spacing w:line="273.6" w:lineRule="auto"/>
        <w:contextualSpacing w:val="0"/>
        <w:jc w:val="center"/>
        <w:rPr>
          <w:rFonts w:ascii="Times New Roman" w:cs="Times New Roman" w:eastAsia="Times New Roman" w:hAnsi="Times New Roman"/>
          <w:b w:val="1"/>
          <w:color w:val="0066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66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line="273.6" w:lineRule="auto"/>
        <w:contextualSpacing w:val="0"/>
        <w:rPr>
          <w:rFonts w:ascii="Times New Roman" w:cs="Times New Roman" w:eastAsia="Times New Roman" w:hAnsi="Times New Roman"/>
          <w:b w:val="1"/>
          <w:color w:val="0066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6600"/>
          <w:rtl w:val="0"/>
        </w:rPr>
        <w:t xml:space="preserve">Qual sua Escola/Município: Escola Estadual Antônio Valadares / Terenos - MS PROGETEC: Marcos Valter Seiboth 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Quadro – Síntese dos estudos.</w:t>
      </w:r>
    </w:p>
    <w:tbl>
      <w:tblPr>
        <w:tblStyle w:val="Table1"/>
        <w:tblW w:w="9012.358207412257" w:type="dxa"/>
        <w:jc w:val="left"/>
        <w:tblInd w:w="100.0" w:type="pct"/>
        <w:tblLayout w:type="fixed"/>
        <w:tblLook w:val="0600"/>
      </w:tblPr>
      <w:tblGrid>
        <w:gridCol w:w="2016.4217853512296"/>
        <w:gridCol w:w="2645.9364220610278"/>
        <w:gridCol w:w="2505"/>
        <w:gridCol w:w="1845"/>
        <w:tblGridChange w:id="0">
          <w:tblGrid>
            <w:gridCol w:w="2016.4217853512296"/>
            <w:gridCol w:w="2645.9364220610278"/>
            <w:gridCol w:w="2505"/>
            <w:gridCol w:w="1845"/>
          </w:tblGrid>
        </w:tblGridChange>
      </w:tblGrid>
      <w:tr>
        <w:trPr>
          <w:trHeight w:val="480" w:hRule="atLeast"/>
        </w:trPr>
        <w:tc>
          <w:tcPr>
            <w:gridSpan w:val="4"/>
            <w:shd w:fill="66ff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Diferenciação conceitual</w:t>
            </w:r>
          </w:p>
        </w:tc>
      </w:tr>
      <w:tr>
        <w:trPr>
          <w:trHeight w:val="480" w:hRule="atLeast"/>
        </w:trPr>
        <w:tc>
          <w:tcPr>
            <w:gridSpan w:val="2"/>
            <w:shd w:fill="99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Inclusão Digital</w:t>
            </w:r>
          </w:p>
        </w:tc>
        <w:tc>
          <w:tcPr>
            <w:gridSpan w:val="2"/>
            <w:shd w:fill="99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Alfabetização Digital</w:t>
            </w:r>
          </w:p>
        </w:tc>
      </w:tr>
      <w:tr>
        <w:trPr>
          <w:trHeight w:val="2140" w:hRule="atLeast"/>
        </w:trPr>
        <w:tc>
          <w:tcPr>
            <w:gridSpan w:val="2"/>
            <w:shd w:fill="ddddd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Conceito: É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democratização da tecnologia, assim, a inclusão digital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é tentativa de garantir a todas as pessoas o acesso às tecnologias de informação e comunicação (TICs). </w:t>
            </w:r>
          </w:p>
          <w:p w:rsidR="00000000" w:rsidDel="00000000" w:rsidP="00000000" w:rsidRDefault="00000000" w:rsidRPr="00000000" w14:paraId="0000000D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Para acontecer precisa de três requisitos básicos: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4"/>
              </w:numPr>
              <w:spacing w:line="273.6" w:lineRule="auto"/>
              <w:ind w:left="720" w:hanging="360"/>
              <w:contextualSpacing w:val="1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Acesso a computadores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4"/>
              </w:numPr>
              <w:spacing w:line="273.6" w:lineRule="auto"/>
              <w:ind w:left="720" w:hanging="360"/>
              <w:contextualSpacing w:val="1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Acesso a internet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4"/>
              </w:numPr>
              <w:spacing w:line="273.6" w:lineRule="auto"/>
              <w:ind w:left="720" w:hanging="360"/>
              <w:contextualSpacing w:val="1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 o principal, Alfabetização digital </w:t>
            </w:r>
          </w:p>
          <w:p w:rsidR="00000000" w:rsidDel="00000000" w:rsidP="00000000" w:rsidRDefault="00000000" w:rsidRPr="00000000" w14:paraId="00000011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dddd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Conceito: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alfabetização digital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é a iniciação ao uso e à compreensão dos recursos da informática, sendo imprescindível aos programas de inclusão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digital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A criança ou o adulto toma conhecimento das possibilidades fornecidas pelo mundo cibernético através da alfabetização Digital.</w:t>
            </w:r>
          </w:p>
          <w:p w:rsidR="00000000" w:rsidDel="00000000" w:rsidP="00000000" w:rsidRDefault="00000000" w:rsidRPr="00000000" w14:paraId="00000014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Para acontecer: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73.6" w:lineRule="auto"/>
              <w:ind w:left="720" w:hanging="360"/>
              <w:contextualSpacing w:val="1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As pessoas devem ser orientadas a pesquisar.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73.6" w:lineRule="auto"/>
              <w:ind w:left="720" w:hanging="360"/>
              <w:contextualSpacing w:val="1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Aprender a usar as ferramentas de escritórios offline.</w:t>
            </w:r>
          </w:p>
          <w:p w:rsidR="00000000" w:rsidDel="00000000" w:rsidP="00000000" w:rsidRDefault="00000000" w:rsidRPr="00000000" w14:paraId="00000017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gridSpan w:val="4"/>
            <w:shd w:fill="99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Qual a relação entre inclusão e alfabetização digital?</w:t>
            </w:r>
          </w:p>
          <w:p w:rsidR="00000000" w:rsidDel="00000000" w:rsidP="00000000" w:rsidRDefault="00000000" w:rsidRPr="00000000" w14:paraId="0000001B">
            <w:pPr>
              <w:spacing w:line="360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inclusão digital virá  sempre acompanhada da alfabetização digital - fazendo um paralelo com o ensino, a educação digital seria a alfabetização, ela é necessária pois constitui-se da base do que deve ser apreendido. Não tornamos um aluno letrado sem antes alfabetizá-lo; da mesma maneira deve acontecer com o letramento digital. Para acontecer a democratização do uso das tecnologias em políticas de combate às desigualdades sociais, deve se investir em processo de ensino integrando o acesso às TICs com as práticas de ensino básico .</w:t>
            </w:r>
          </w:p>
        </w:tc>
      </w:tr>
      <w:tr>
        <w:trPr>
          <w:trHeight w:val="480" w:hRule="atLeast"/>
        </w:trPr>
        <w:tc>
          <w:tcPr>
            <w:gridSpan w:val="4"/>
            <w:shd w:fill="66ff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Inclusão Digital e Desigualdade</w:t>
            </w:r>
          </w:p>
        </w:tc>
      </w:tr>
      <w:tr>
        <w:trPr>
          <w:trHeight w:val="1040" w:hRule="atLeast"/>
        </w:trPr>
        <w:tc>
          <w:tcPr>
            <w:gridSpan w:val="4"/>
            <w:shd w:fill="ddddd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Como as TDIC presentes na escola e seu uso pedagógico podem contribuir para diminuir a exclusão digital e as desigualdades sociais?</w:t>
            </w:r>
          </w:p>
          <w:p w:rsidR="00000000" w:rsidDel="00000000" w:rsidP="00000000" w:rsidRDefault="00000000" w:rsidRPr="00000000" w14:paraId="00000024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escola com o uso pedagógico das tecnologias, oferece oportunidades igualitárias de acesso aos estudantes, quando o professor usa as ferramentas de autoria com os alunos esta preparando este para o mercado de trabalho, a escola deve oferecer oportunidades igualitárias a todos.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spacing w:line="273.6" w:lineRule="auto"/>
              <w:ind w:left="720" w:hanging="360"/>
              <w:contextualSpacing w:val="1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Oferecer oportunidades de acesso a pesquisa em horários alternativos;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spacing w:line="273.6" w:lineRule="auto"/>
              <w:ind w:left="720" w:hanging="360"/>
              <w:contextualSpacing w:val="1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Buscar democratizar o acesso;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spacing w:line="273.6" w:lineRule="auto"/>
              <w:ind w:left="720" w:hanging="360"/>
              <w:contextualSpacing w:val="1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Oferecer formação para uso didáticos das TICs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spacing w:line="273.6" w:lineRule="auto"/>
              <w:ind w:left="720" w:hanging="360"/>
              <w:contextualSpacing w:val="1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9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4"/>
            <w:shd w:fill="66ff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Projeto de Aprendizagem (P.A) e redução das desigualdades</w:t>
            </w:r>
          </w:p>
        </w:tc>
      </w:tr>
      <w:tr>
        <w:trPr>
          <w:trHeight w:val="1860" w:hRule="atLeast"/>
        </w:trPr>
        <w:tc>
          <w:tcPr>
            <w:shd w:fill="ddddd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Descreva brevemente o Tema do seu P.A:</w:t>
            </w:r>
          </w:p>
          <w:p w:rsidR="00000000" w:rsidDel="00000000" w:rsidP="00000000" w:rsidRDefault="00000000" w:rsidRPr="00000000" w14:paraId="00000032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3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“A</w:t>
            </w:r>
          </w:p>
          <w:p w:rsidR="00000000" w:rsidDel="00000000" w:rsidP="00000000" w:rsidRDefault="00000000" w:rsidRPr="00000000" w14:paraId="00000034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ciência</w:t>
            </w:r>
          </w:p>
          <w:p w:rsidR="00000000" w:rsidDel="00000000" w:rsidP="00000000" w:rsidRDefault="00000000" w:rsidRPr="00000000" w14:paraId="00000035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para</w:t>
            </w:r>
          </w:p>
          <w:p w:rsidR="00000000" w:rsidDel="00000000" w:rsidP="00000000" w:rsidRDefault="00000000" w:rsidRPr="00000000" w14:paraId="00000036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redução</w:t>
            </w:r>
          </w:p>
          <w:p w:rsidR="00000000" w:rsidDel="00000000" w:rsidP="00000000" w:rsidRDefault="00000000" w:rsidRPr="00000000" w14:paraId="00000037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das</w:t>
            </w:r>
          </w:p>
          <w:p w:rsidR="00000000" w:rsidDel="00000000" w:rsidP="00000000" w:rsidRDefault="00000000" w:rsidRPr="00000000" w14:paraId="00000038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desigualdades</w:t>
            </w:r>
          </w:p>
          <w:p w:rsidR="00000000" w:rsidDel="00000000" w:rsidP="00000000" w:rsidRDefault="00000000" w:rsidRPr="00000000" w14:paraId="00000039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-ciência,</w:t>
            </w:r>
          </w:p>
          <w:p w:rsidR="00000000" w:rsidDel="00000000" w:rsidP="00000000" w:rsidRDefault="00000000" w:rsidRPr="00000000" w14:paraId="0000003A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agricultura</w:t>
            </w:r>
          </w:p>
          <w:p w:rsidR="00000000" w:rsidDel="00000000" w:rsidP="00000000" w:rsidRDefault="00000000" w:rsidRPr="00000000" w14:paraId="0000003B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3C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transformação</w:t>
            </w:r>
          </w:p>
          <w:p w:rsidR="00000000" w:rsidDel="00000000" w:rsidP="00000000" w:rsidRDefault="00000000" w:rsidRPr="00000000" w14:paraId="0000003D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</w:t>
            </w:r>
          </w:p>
          <w:p w:rsidR="00000000" w:rsidDel="00000000" w:rsidP="00000000" w:rsidRDefault="00000000" w:rsidRPr="00000000" w14:paraId="0000003E">
            <w:pPr>
              <w:spacing w:line="273.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espaço</w:t>
            </w:r>
          </w:p>
          <w:p w:rsidR="00000000" w:rsidDel="00000000" w:rsidP="00000000" w:rsidRDefault="00000000" w:rsidRPr="00000000" w14:paraId="0000003F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social</w:t>
            </w:r>
          </w:p>
          <w:p w:rsidR="00000000" w:rsidDel="00000000" w:rsidP="00000000" w:rsidRDefault="00000000" w:rsidRPr="00000000" w14:paraId="00000040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1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2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gridSpan w:val="3"/>
            <w:shd w:fill="ddddd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Como o tema trabalhado no seu P.A/2018 contribuirá para a redução da desigualdade no contexto da sua escola?</w:t>
            </w:r>
          </w:p>
          <w:p w:rsidR="00000000" w:rsidDel="00000000" w:rsidP="00000000" w:rsidRDefault="00000000" w:rsidRPr="00000000" w14:paraId="00000044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problemática diagnosticada surgiu do interesse em implantar hortas comunitárias para uma alimentação adequada das famílias de baixa renda ou qualquer outro cidadão. Será tratado de forma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multidisciplinar nas áreas de artes, história, geografia, língua portuguesa e matemática,  buscando tratá-la o mais próximo da transdisciplinaridade. O tema através da pesquisa e prática exercida durante o projeto, estimulará os alunos a cultivar em casa ou mesmo áreas coletivas diminuindo áreas ociosas que acumulam lixo ou espaços vazios que têm aptidão a produção de alimentos.</w:t>
            </w:r>
          </w:p>
          <w:p w:rsidR="00000000" w:rsidDel="00000000" w:rsidP="00000000" w:rsidRDefault="00000000" w:rsidRPr="00000000" w14:paraId="00000045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"Nem todo país precisa desenvolver tecnologias de última geração, mas todos necessitam ter a capacidade de identificar os benefícios que a tecnologia tem para proporcionar e adaptar os novos conhecimento às suas necessidades e limitações", afirma o Pnud.</w:t>
            </w:r>
          </w:p>
          <w:p w:rsidR="00000000" w:rsidDel="00000000" w:rsidP="00000000" w:rsidRDefault="00000000" w:rsidRPr="00000000" w14:paraId="00000048">
            <w:pPr>
              <w:spacing w:line="273.6" w:lineRule="auto"/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4"/>
            <w:shd w:fill="66ff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Inclusão Digital na Escola</w:t>
            </w:r>
          </w:p>
        </w:tc>
      </w:tr>
      <w:tr>
        <w:trPr>
          <w:trHeight w:val="4000" w:hRule="atLeast"/>
        </w:trPr>
        <w:tc>
          <w:tcPr>
            <w:gridSpan w:val="4"/>
            <w:shd w:fill="ddddd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Faça uma lista das principais metodologias utilizadas nas aulas realizadas em sua escola que contribuem para a alfabetização digital:</w:t>
            </w:r>
          </w:p>
          <w:p w:rsidR="00000000" w:rsidDel="00000000" w:rsidP="00000000" w:rsidRDefault="00000000" w:rsidRPr="00000000" w14:paraId="00000050">
            <w:pPr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spacing w:line="273.6" w:lineRule="auto"/>
              <w:ind w:left="720" w:hanging="360"/>
              <w:contextualSpacing w:val="1"/>
              <w:jc w:val="both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Formação continuada para professores;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line="273.6" w:lineRule="auto"/>
              <w:ind w:left="720" w:hanging="360"/>
              <w:contextualSpacing w:val="1"/>
              <w:jc w:val="both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Projetos envolvendo os recursos tecnológicos;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line="273.6" w:lineRule="auto"/>
              <w:ind w:left="720" w:hanging="360"/>
              <w:contextualSpacing w:val="1"/>
              <w:jc w:val="both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Metodologia de problematização com uso de recursos tecnológicos;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line="273.6" w:lineRule="auto"/>
              <w:ind w:left="720" w:hanging="360"/>
              <w:contextualSpacing w:val="1"/>
              <w:jc w:val="both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Uso dos recursos on lines  e offline como ferramenta de produção e autoria;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line="273.6" w:lineRule="auto"/>
              <w:ind w:left="720" w:hanging="360"/>
              <w:contextualSpacing w:val="1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Uso do Google sala de aula: Para ensino a distância e construção da autonomia do estudante.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line="273.6" w:lineRule="auto"/>
              <w:ind w:left="720" w:hanging="360"/>
              <w:contextualSpacing w:val="1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Apresentação de Seminários envolvendo de conteúdos do currículo,  utilizando editores de apresentação. </w:t>
            </w:r>
          </w:p>
          <w:p w:rsidR="00000000" w:rsidDel="00000000" w:rsidP="00000000" w:rsidRDefault="00000000" w:rsidRPr="00000000" w14:paraId="00000057">
            <w:pPr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8">
            <w:pPr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gridSpan w:val="4"/>
            <w:shd w:fill="66ff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Ideias para inclusão digital e redução das desigualdades na seu contexto</w:t>
            </w:r>
          </w:p>
        </w:tc>
      </w:tr>
      <w:tr>
        <w:trPr>
          <w:trHeight w:val="480" w:hRule="atLeast"/>
        </w:trPr>
        <w:tc>
          <w:tcPr>
            <w:gridSpan w:val="2"/>
            <w:shd w:fill="99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Apresente duas ideias para promover a inclusão digital dos alunos da sua escola:</w:t>
            </w:r>
          </w:p>
        </w:tc>
        <w:tc>
          <w:tcPr>
            <w:gridSpan w:val="2"/>
            <w:shd w:fill="99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Apresente duas ideias para promover a inclusão digital da comunidade na qual sua escola está inserida:</w:t>
            </w:r>
          </w:p>
        </w:tc>
      </w:tr>
      <w:tr>
        <w:trPr>
          <w:trHeight w:val="1500" w:hRule="atLeast"/>
        </w:trPr>
        <w:tc>
          <w:tcPr>
            <w:vMerge w:val="restart"/>
            <w:shd w:fill="ddddd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Ideia 1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Oficina Plataformas de estudo a distância; </w:t>
            </w:r>
          </w:p>
        </w:tc>
        <w:tc>
          <w:tcPr>
            <w:vMerge w:val="restart"/>
            <w:shd w:fill="ddddd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Ideia 2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Palestra com a temática “Pesquisar não é copiar”.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Falar sobre plágio, o que é cópia e ser autor.</w:t>
            </w:r>
          </w:p>
        </w:tc>
        <w:tc>
          <w:tcPr>
            <w:shd w:fill="ddddd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Ideia 1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Oficina sobre plataformas de estudo online; Apresentar a comunidade escolar os benefícios do ensino em plataformas de estudo a distância.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</w:t>
            </w:r>
          </w:p>
        </w:tc>
        <w:tc>
          <w:tcPr>
            <w:shd w:fill="ddddd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Ideia 2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Palestra com a temática “O porque o ensino público deve introduzir as TICs em suas metodologias de ensino  aprendizagem”.</w:t>
            </w:r>
          </w:p>
        </w:tc>
      </w:tr>
      <w:tr>
        <w:trPr>
          <w:trHeight w:val="1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99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Quais desigualdades essas ideias poderão reduzir?</w:t>
            </w:r>
          </w:p>
          <w:p w:rsidR="00000000" w:rsidDel="00000000" w:rsidP="00000000" w:rsidRDefault="00000000" w:rsidRPr="00000000" w14:paraId="00000075">
            <w:pPr>
              <w:contextualSpacing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compreensão dos pais sobre a importância desta ferramenta para a preparação do educando para o mercado de trabalho fora do ensino regular e oportunizando o acesso a diversidade de textos, autores,  Imagens, ferramentas de autorias básicos e desenvolvendo o protagonismo deste estudantes. </w:t>
            </w:r>
          </w:p>
          <w:p w:rsidR="00000000" w:rsidDel="00000000" w:rsidP="00000000" w:rsidRDefault="00000000" w:rsidRPr="00000000" w14:paraId="00000076">
            <w:pPr>
              <w:spacing w:line="273.6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7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79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A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